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620" w:rsidRPr="00BD1298" w:rsidRDefault="00A34C56" w:rsidP="00BD1298">
      <w:pPr>
        <w:spacing w:line="240" w:lineRule="auto"/>
        <w:ind w:firstLineChars="0" w:firstLine="0"/>
        <w:jc w:val="center"/>
        <w:rPr>
          <w:rFonts w:eastAsia="仿宋_GB2312" w:cs="Times New Roman"/>
          <w:b/>
          <w:color w:val="auto"/>
          <w:kern w:val="2"/>
          <w:szCs w:val="28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color w:val="auto"/>
          <w:kern w:val="2"/>
          <w:sz w:val="44"/>
          <w:szCs w:val="44"/>
        </w:rPr>
        <w:t>“独墅湖杯”医药创新品牌评选</w:t>
      </w:r>
    </w:p>
    <w:p w:rsidR="003C1620" w:rsidRDefault="00A34C56">
      <w:pPr>
        <w:ind w:firstLineChars="0" w:firstLine="0"/>
        <w:jc w:val="center"/>
        <w:rPr>
          <w:rFonts w:ascii="宋体" w:eastAsia="宋体" w:hAnsi="宋体" w:cs="Times New Roman"/>
          <w:b/>
          <w:color w:val="auto"/>
          <w:kern w:val="2"/>
          <w:sz w:val="44"/>
          <w:szCs w:val="44"/>
        </w:rPr>
      </w:pPr>
      <w:r>
        <w:rPr>
          <w:rFonts w:ascii="宋体" w:eastAsia="宋体" w:hAnsi="宋体" w:cs="Times New Roman" w:hint="eastAsia"/>
          <w:b/>
          <w:color w:val="auto"/>
          <w:kern w:val="2"/>
          <w:sz w:val="44"/>
          <w:szCs w:val="44"/>
        </w:rPr>
        <w:t>投资机构奖项评价表</w:t>
      </w:r>
    </w:p>
    <w:p w:rsidR="003C1620" w:rsidRDefault="003C1620">
      <w:pPr>
        <w:widowControl w:val="0"/>
        <w:adjustRightInd w:val="0"/>
        <w:snapToGrid w:val="0"/>
        <w:spacing w:line="276" w:lineRule="auto"/>
        <w:ind w:firstLineChars="0" w:firstLine="0"/>
        <w:jc w:val="center"/>
        <w:rPr>
          <w:rFonts w:eastAsia="等线" w:cs="Times New Roman"/>
          <w:b/>
          <w:color w:val="auto"/>
          <w:kern w:val="2"/>
          <w:sz w:val="32"/>
          <w:szCs w:val="22"/>
        </w:rPr>
      </w:pPr>
    </w:p>
    <w:p w:rsidR="003C1620" w:rsidRDefault="00A34C56">
      <w:pPr>
        <w:adjustRightInd w:val="0"/>
        <w:snapToGrid w:val="0"/>
        <w:ind w:firstLine="480"/>
        <w:rPr>
          <w:rFonts w:ascii="微软雅黑" w:eastAsia="微软雅黑" w:hAnsi="微软雅黑" w:cs="Times New Roman"/>
          <w:color w:val="auto"/>
          <w:kern w:val="2"/>
          <w:szCs w:val="28"/>
        </w:rPr>
      </w:pPr>
      <w:r>
        <w:rPr>
          <w:rFonts w:eastAsia="仿宋_GB2312" w:cs="Times New Roman"/>
          <w:sz w:val="24"/>
        </w:rPr>
        <w:t>*</w:t>
      </w:r>
      <w:r>
        <w:rPr>
          <w:rFonts w:ascii="微软雅黑" w:eastAsia="微软雅黑" w:hAnsi="微软雅黑" w:cs="Times New Roman"/>
          <w:sz w:val="24"/>
        </w:rPr>
        <w:t>说明：</w:t>
      </w:r>
    </w:p>
    <w:p w:rsidR="003C1620" w:rsidRDefault="00A34C56">
      <w:pPr>
        <w:adjustRightInd w:val="0"/>
        <w:snapToGrid w:val="0"/>
        <w:ind w:firstLine="480"/>
        <w:rPr>
          <w:rFonts w:ascii="微软雅黑" w:eastAsia="微软雅黑" w:hAnsi="微软雅黑" w:cs="Times New Roman"/>
          <w:sz w:val="24"/>
        </w:rPr>
      </w:pPr>
      <w:r>
        <w:rPr>
          <w:rFonts w:ascii="微软雅黑" w:eastAsia="微软雅黑" w:hAnsi="微软雅黑" w:cs="Times New Roman"/>
          <w:sz w:val="24"/>
        </w:rPr>
        <w:t>1、本评价表的简要说明由</w:t>
      </w:r>
      <w:r>
        <w:rPr>
          <w:rFonts w:ascii="微软雅黑" w:eastAsia="微软雅黑" w:hAnsi="微软雅黑" w:cs="Times New Roman" w:hint="eastAsia"/>
          <w:sz w:val="24"/>
        </w:rPr>
        <w:t>主推荐</w:t>
      </w:r>
      <w:r>
        <w:rPr>
          <w:rFonts w:ascii="微软雅黑" w:eastAsia="微软雅黑" w:hAnsi="微软雅黑" w:cs="Times New Roman"/>
          <w:sz w:val="24"/>
        </w:rPr>
        <w:t>机构填写，用客观数据和最简短文字</w:t>
      </w:r>
      <w:r>
        <w:rPr>
          <w:rFonts w:ascii="微软雅黑" w:eastAsia="微软雅黑" w:hAnsi="微软雅黑" w:cs="Times New Roman" w:hint="eastAsia"/>
          <w:sz w:val="24"/>
        </w:rPr>
        <w:t>予以</w:t>
      </w:r>
      <w:r>
        <w:rPr>
          <w:rFonts w:ascii="微软雅黑" w:eastAsia="微软雅黑" w:hAnsi="微软雅黑" w:cs="Times New Roman"/>
          <w:sz w:val="24"/>
        </w:rPr>
        <w:t>说明，并按照评价表要求提交详细说明和证明文件。</w:t>
      </w:r>
    </w:p>
    <w:p w:rsidR="003C1620" w:rsidRDefault="00A34C56">
      <w:pPr>
        <w:adjustRightInd w:val="0"/>
        <w:snapToGrid w:val="0"/>
        <w:ind w:firstLine="480"/>
        <w:rPr>
          <w:rFonts w:ascii="微软雅黑" w:eastAsia="微软雅黑" w:hAnsi="微软雅黑" w:cs="Times New Roman"/>
          <w:sz w:val="24"/>
        </w:rPr>
      </w:pPr>
      <w:r>
        <w:rPr>
          <w:rFonts w:ascii="微软雅黑" w:eastAsia="微软雅黑" w:hAnsi="微软雅黑" w:cs="Times New Roman"/>
          <w:sz w:val="24"/>
        </w:rPr>
        <w:t>2、评价满分为100分，机构评价按综合得分值排名；</w:t>
      </w:r>
    </w:p>
    <w:p w:rsidR="003C1620" w:rsidRDefault="00A34C56">
      <w:pPr>
        <w:adjustRightInd w:val="0"/>
        <w:snapToGrid w:val="0"/>
        <w:ind w:firstLine="480"/>
        <w:rPr>
          <w:rFonts w:ascii="微软雅黑" w:eastAsia="微软雅黑" w:hAnsi="微软雅黑" w:cs="Times New Roman"/>
          <w:sz w:val="24"/>
        </w:rPr>
      </w:pPr>
      <w:r>
        <w:rPr>
          <w:rFonts w:ascii="微软雅黑" w:eastAsia="微软雅黑" w:hAnsi="微软雅黑" w:cs="Times New Roman"/>
          <w:sz w:val="24"/>
        </w:rPr>
        <w:t>3、上市后市场表现最佳品种是指填补临床空白、</w:t>
      </w:r>
      <w:r>
        <w:rPr>
          <w:rFonts w:ascii="微软雅黑" w:eastAsia="微软雅黑" w:hAnsi="微软雅黑" w:cs="Times New Roman" w:hint="eastAsia"/>
          <w:sz w:val="24"/>
        </w:rPr>
        <w:t>实现进口替代和</w:t>
      </w:r>
      <w:r>
        <w:rPr>
          <w:rFonts w:ascii="微软雅黑" w:eastAsia="微软雅黑" w:hAnsi="微软雅黑" w:cs="Times New Roman"/>
          <w:sz w:val="24"/>
        </w:rPr>
        <w:t>临床与社会价值显著的产品；</w:t>
      </w:r>
    </w:p>
    <w:p w:rsidR="003C1620" w:rsidRDefault="00A34C56">
      <w:pPr>
        <w:adjustRightInd w:val="0"/>
        <w:snapToGrid w:val="0"/>
        <w:ind w:firstLine="480"/>
        <w:rPr>
          <w:rFonts w:ascii="微软雅黑" w:eastAsia="微软雅黑" w:hAnsi="微软雅黑" w:cs="Times New Roman"/>
          <w:sz w:val="24"/>
        </w:rPr>
      </w:pPr>
      <w:r>
        <w:rPr>
          <w:rFonts w:ascii="微软雅黑" w:eastAsia="微软雅黑" w:hAnsi="微软雅黑" w:cs="Times New Roman"/>
          <w:sz w:val="24"/>
        </w:rPr>
        <w:t>4、若出现总得分相同的情况，则依次按照</w:t>
      </w:r>
      <w:r>
        <w:rPr>
          <w:rFonts w:ascii="微软雅黑" w:eastAsia="微软雅黑" w:hAnsi="微软雅黑" w:cs="Times New Roman" w:hint="eastAsia"/>
          <w:sz w:val="24"/>
        </w:rPr>
        <w:t>投资项目各评价子项的比较序号比较子项分值确定排名。</w:t>
      </w:r>
    </w:p>
    <w:p w:rsidR="003C1620" w:rsidRDefault="00A34C56">
      <w:pPr>
        <w:ind w:firstLineChars="0" w:firstLine="0"/>
      </w:pPr>
      <w:r>
        <w:br w:type="page"/>
      </w:r>
    </w:p>
    <w:tbl>
      <w:tblPr>
        <w:tblStyle w:val="ac"/>
        <w:tblW w:w="9882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1324"/>
        <w:gridCol w:w="3442"/>
        <w:gridCol w:w="769"/>
        <w:gridCol w:w="1864"/>
        <w:gridCol w:w="1311"/>
        <w:gridCol w:w="1172"/>
      </w:tblGrid>
      <w:tr w:rsidR="003C1620">
        <w:tc>
          <w:tcPr>
            <w:tcW w:w="4766" w:type="dxa"/>
            <w:gridSpan w:val="2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lastRenderedPageBreak/>
              <w:t>评价项目</w:t>
            </w:r>
          </w:p>
        </w:tc>
        <w:tc>
          <w:tcPr>
            <w:tcW w:w="769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比较序号</w:t>
            </w:r>
          </w:p>
        </w:tc>
        <w:tc>
          <w:tcPr>
            <w:tcW w:w="1864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简要说明</w:t>
            </w: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评价</w:t>
            </w:r>
          </w:p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最高分</w:t>
            </w:r>
          </w:p>
        </w:tc>
        <w:tc>
          <w:tcPr>
            <w:tcW w:w="1172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得分</w:t>
            </w:r>
          </w:p>
        </w:tc>
      </w:tr>
      <w:tr w:rsidR="003C1620">
        <w:tc>
          <w:tcPr>
            <w:tcW w:w="1324" w:type="dxa"/>
            <w:vMerge w:val="restart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微软雅黑" w:eastAsia="微软雅黑" w:hAnsi="微软雅黑" w:hint="eastAsia"/>
                <w:sz w:val="24"/>
              </w:rPr>
              <w:t>投资项目（100分）</w:t>
            </w:r>
          </w:p>
        </w:tc>
        <w:tc>
          <w:tcPr>
            <w:tcW w:w="3442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微软雅黑" w:eastAsia="微软雅黑" w:hAnsi="微软雅黑" w:hint="eastAsia"/>
                <w:sz w:val="24"/>
              </w:rPr>
              <w:t>已投资新药/创新医疗器械</w:t>
            </w:r>
            <w:r>
              <w:rPr>
                <w:rStyle w:val="ab"/>
                <w:rFonts w:ascii="微软雅黑" w:eastAsia="微软雅黑" w:hAnsi="微软雅黑"/>
                <w:sz w:val="24"/>
              </w:rPr>
              <w:footnoteReference w:id="1"/>
            </w:r>
            <w:r>
              <w:rPr>
                <w:rFonts w:ascii="微软雅黑" w:eastAsia="微软雅黑" w:hAnsi="微软雅黑" w:hint="eastAsia"/>
                <w:sz w:val="24"/>
              </w:rPr>
              <w:t>项目总数、累计投资金额</w:t>
            </w:r>
          </w:p>
        </w:tc>
        <w:tc>
          <w:tcPr>
            <w:tcW w:w="769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4</w:t>
            </w:r>
          </w:p>
        </w:tc>
        <w:tc>
          <w:tcPr>
            <w:tcW w:w="1864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13</w:t>
            </w:r>
          </w:p>
        </w:tc>
        <w:tc>
          <w:tcPr>
            <w:tcW w:w="1172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3C1620">
        <w:tc>
          <w:tcPr>
            <w:tcW w:w="1324" w:type="dxa"/>
            <w:vMerge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</w:pPr>
          </w:p>
        </w:tc>
        <w:tc>
          <w:tcPr>
            <w:tcW w:w="3442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微软雅黑" w:eastAsia="微软雅黑" w:hAnsi="微软雅黑" w:hint="eastAsia"/>
                <w:sz w:val="24"/>
              </w:rPr>
              <w:t>领投新药/创新医疗器械项目数量及金额占比</w:t>
            </w:r>
          </w:p>
        </w:tc>
        <w:tc>
          <w:tcPr>
            <w:tcW w:w="769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2</w:t>
            </w:r>
          </w:p>
        </w:tc>
        <w:tc>
          <w:tcPr>
            <w:tcW w:w="1864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15</w:t>
            </w:r>
          </w:p>
        </w:tc>
        <w:tc>
          <w:tcPr>
            <w:tcW w:w="1172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3C1620">
        <w:tc>
          <w:tcPr>
            <w:tcW w:w="1324" w:type="dxa"/>
            <w:vMerge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</w:pPr>
          </w:p>
        </w:tc>
        <w:tc>
          <w:tcPr>
            <w:tcW w:w="3442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微软雅黑" w:eastAsia="微软雅黑" w:hAnsi="微软雅黑" w:hint="eastAsia"/>
                <w:sz w:val="24"/>
              </w:rPr>
              <w:t>已投资处于临床前或I期临床研究的1类创新药数量及占已投新药数量比</w:t>
            </w:r>
          </w:p>
        </w:tc>
        <w:tc>
          <w:tcPr>
            <w:tcW w:w="769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1</w:t>
            </w:r>
          </w:p>
        </w:tc>
        <w:tc>
          <w:tcPr>
            <w:tcW w:w="1864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25</w:t>
            </w:r>
          </w:p>
        </w:tc>
        <w:tc>
          <w:tcPr>
            <w:tcW w:w="1172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3C1620">
        <w:tc>
          <w:tcPr>
            <w:tcW w:w="1324" w:type="dxa"/>
            <w:vMerge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</w:pPr>
          </w:p>
        </w:tc>
        <w:tc>
          <w:tcPr>
            <w:tcW w:w="3442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微软雅黑" w:eastAsia="微软雅黑" w:hAnsi="微软雅黑" w:hint="eastAsia"/>
                <w:sz w:val="24"/>
              </w:rPr>
              <w:t>已投资新药开展国内、国际（ICH国家）双报并在ICH国家开展临床试验的项目数量</w:t>
            </w:r>
          </w:p>
        </w:tc>
        <w:tc>
          <w:tcPr>
            <w:tcW w:w="769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6</w:t>
            </w:r>
          </w:p>
        </w:tc>
        <w:tc>
          <w:tcPr>
            <w:tcW w:w="1864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10</w:t>
            </w:r>
          </w:p>
        </w:tc>
        <w:tc>
          <w:tcPr>
            <w:tcW w:w="1172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3C1620">
        <w:tc>
          <w:tcPr>
            <w:tcW w:w="1324" w:type="dxa"/>
            <w:vMerge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</w:pPr>
          </w:p>
        </w:tc>
        <w:tc>
          <w:tcPr>
            <w:tcW w:w="3442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微软雅黑" w:eastAsia="微软雅黑" w:hAnsi="微软雅黑" w:hint="eastAsia"/>
                <w:sz w:val="24"/>
              </w:rPr>
              <w:t>已投资新药/创新医疗器械项目获批上市数量</w:t>
            </w:r>
          </w:p>
        </w:tc>
        <w:tc>
          <w:tcPr>
            <w:tcW w:w="769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3</w:t>
            </w:r>
          </w:p>
        </w:tc>
        <w:tc>
          <w:tcPr>
            <w:tcW w:w="1864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15</w:t>
            </w:r>
          </w:p>
        </w:tc>
        <w:tc>
          <w:tcPr>
            <w:tcW w:w="1172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3C1620">
        <w:tc>
          <w:tcPr>
            <w:tcW w:w="1324" w:type="dxa"/>
            <w:vMerge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</w:pPr>
          </w:p>
        </w:tc>
        <w:tc>
          <w:tcPr>
            <w:tcW w:w="3442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微软雅黑" w:eastAsia="微软雅黑" w:hAnsi="微软雅黑" w:hint="eastAsia"/>
                <w:sz w:val="24"/>
              </w:rPr>
              <w:t>上市后市场表现最佳品种</w:t>
            </w:r>
          </w:p>
        </w:tc>
        <w:tc>
          <w:tcPr>
            <w:tcW w:w="769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5</w:t>
            </w:r>
          </w:p>
        </w:tc>
        <w:tc>
          <w:tcPr>
            <w:tcW w:w="1864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12</w:t>
            </w:r>
          </w:p>
        </w:tc>
        <w:tc>
          <w:tcPr>
            <w:tcW w:w="1172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3C1620">
        <w:tc>
          <w:tcPr>
            <w:tcW w:w="1324" w:type="dxa"/>
            <w:vMerge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</w:pPr>
          </w:p>
        </w:tc>
        <w:tc>
          <w:tcPr>
            <w:tcW w:w="3442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微软雅黑" w:eastAsia="微软雅黑" w:hAnsi="微软雅黑" w:hint="eastAsia"/>
                <w:sz w:val="24"/>
              </w:rPr>
              <w:t>已投公司成功IPO的数量</w:t>
            </w:r>
          </w:p>
        </w:tc>
        <w:tc>
          <w:tcPr>
            <w:tcW w:w="769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7</w:t>
            </w:r>
          </w:p>
        </w:tc>
        <w:tc>
          <w:tcPr>
            <w:tcW w:w="1864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10</w:t>
            </w:r>
          </w:p>
        </w:tc>
        <w:tc>
          <w:tcPr>
            <w:tcW w:w="1172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3C1620">
        <w:tc>
          <w:tcPr>
            <w:tcW w:w="4766" w:type="dxa"/>
            <w:gridSpan w:val="2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综合得分</w:t>
            </w:r>
          </w:p>
        </w:tc>
        <w:tc>
          <w:tcPr>
            <w:tcW w:w="769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64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微软雅黑" w:eastAsia="微软雅黑" w:hAnsi="微软雅黑" w:hint="eastAsia"/>
                <w:sz w:val="24"/>
              </w:rPr>
              <w:t>——</w:t>
            </w:r>
          </w:p>
        </w:tc>
        <w:tc>
          <w:tcPr>
            <w:tcW w:w="1311" w:type="dxa"/>
            <w:vAlign w:val="center"/>
          </w:tcPr>
          <w:p w:rsidR="003C1620" w:rsidRDefault="00A34C5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——</w:t>
            </w:r>
          </w:p>
        </w:tc>
        <w:tc>
          <w:tcPr>
            <w:tcW w:w="1172" w:type="dxa"/>
            <w:vAlign w:val="center"/>
          </w:tcPr>
          <w:p w:rsidR="003C1620" w:rsidRDefault="003C1620">
            <w:pPr>
              <w:adjustRightInd w:val="0"/>
              <w:snapToGrid w:val="0"/>
              <w:spacing w:line="240" w:lineRule="auto"/>
              <w:ind w:firstLineChars="0" w:firstLine="0"/>
              <w:jc w:val="center"/>
            </w:pPr>
          </w:p>
        </w:tc>
      </w:tr>
    </w:tbl>
    <w:p w:rsidR="003C1620" w:rsidRDefault="003C1620">
      <w:pPr>
        <w:ind w:firstLineChars="0" w:firstLine="0"/>
      </w:pPr>
    </w:p>
    <w:p w:rsidR="003C1620" w:rsidRDefault="003C1620">
      <w:pPr>
        <w:ind w:firstLineChars="0" w:firstLine="0"/>
      </w:pPr>
    </w:p>
    <w:p w:rsidR="003C1620" w:rsidRDefault="003C1620">
      <w:pPr>
        <w:ind w:firstLineChars="0" w:firstLine="0"/>
      </w:pPr>
    </w:p>
    <w:p w:rsidR="003C1620" w:rsidRDefault="003C1620">
      <w:pPr>
        <w:ind w:firstLineChars="0" w:firstLine="0"/>
      </w:pPr>
    </w:p>
    <w:sectPr w:rsidR="003C1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712" w:rsidRDefault="00EC4712">
      <w:pPr>
        <w:spacing w:line="240" w:lineRule="auto"/>
        <w:ind w:firstLine="560"/>
      </w:pPr>
      <w:r>
        <w:separator/>
      </w:r>
    </w:p>
  </w:endnote>
  <w:endnote w:type="continuationSeparator" w:id="0">
    <w:p w:rsidR="00EC4712" w:rsidRDefault="00EC471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20" w:rsidRDefault="003C162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6630703"/>
    </w:sdtPr>
    <w:sdtEndPr/>
    <w:sdtContent>
      <w:p w:rsidR="003C1620" w:rsidRDefault="00A34C56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:rsidR="003C1620" w:rsidRDefault="003C162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20" w:rsidRDefault="003C162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712" w:rsidRDefault="00EC4712">
      <w:pPr>
        <w:spacing w:line="240" w:lineRule="auto"/>
        <w:ind w:firstLine="560"/>
      </w:pPr>
      <w:r>
        <w:separator/>
      </w:r>
    </w:p>
  </w:footnote>
  <w:footnote w:type="continuationSeparator" w:id="0">
    <w:p w:rsidR="00EC4712" w:rsidRDefault="00EC4712">
      <w:pPr>
        <w:spacing w:line="240" w:lineRule="auto"/>
        <w:ind w:firstLine="560"/>
      </w:pPr>
      <w:r>
        <w:continuationSeparator/>
      </w:r>
    </w:p>
  </w:footnote>
  <w:footnote w:id="1">
    <w:p w:rsidR="003C1620" w:rsidRDefault="00A34C56">
      <w:pPr>
        <w:pStyle w:val="a9"/>
        <w:spacing w:line="240" w:lineRule="auto"/>
        <w:ind w:firstLine="360"/>
      </w:pPr>
      <w:r>
        <w:rPr>
          <w:rStyle w:val="ab"/>
        </w:rPr>
        <w:footnoteRef/>
      </w:r>
      <w:r>
        <w:rPr>
          <w:rFonts w:ascii="微软雅黑" w:eastAsia="微软雅黑" w:hAnsi="微软雅黑" w:hint="eastAsia"/>
          <w:sz w:val="20"/>
        </w:rPr>
        <w:t>具有国际原创、国内首创性，且关键技术和核心部件具有发明专利；或通过技术创新在功能性能、性价比、可靠性等方面有重大提升；具有重大临床应用价值和推动医疗水平提升，具有显著的经济效益和社会效益的品种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20" w:rsidRDefault="003C162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20" w:rsidRDefault="003C1620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20" w:rsidRDefault="003C1620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074"/>
    <w:rsid w:val="000113CB"/>
    <w:rsid w:val="000878BC"/>
    <w:rsid w:val="00091E87"/>
    <w:rsid w:val="000B49FA"/>
    <w:rsid w:val="000B6693"/>
    <w:rsid w:val="000F144D"/>
    <w:rsid w:val="00106C29"/>
    <w:rsid w:val="00172A27"/>
    <w:rsid w:val="0018404B"/>
    <w:rsid w:val="001A2617"/>
    <w:rsid w:val="001C3121"/>
    <w:rsid w:val="001E2F7E"/>
    <w:rsid w:val="00207406"/>
    <w:rsid w:val="0021107F"/>
    <w:rsid w:val="00214790"/>
    <w:rsid w:val="00223A5F"/>
    <w:rsid w:val="002326EE"/>
    <w:rsid w:val="002A49FC"/>
    <w:rsid w:val="002C63D9"/>
    <w:rsid w:val="002F0322"/>
    <w:rsid w:val="00303B5B"/>
    <w:rsid w:val="003469A5"/>
    <w:rsid w:val="003A44DC"/>
    <w:rsid w:val="003A5D88"/>
    <w:rsid w:val="003C1620"/>
    <w:rsid w:val="003D41E3"/>
    <w:rsid w:val="00421526"/>
    <w:rsid w:val="004E4D34"/>
    <w:rsid w:val="00524EAA"/>
    <w:rsid w:val="0053009C"/>
    <w:rsid w:val="005A289C"/>
    <w:rsid w:val="005D7A11"/>
    <w:rsid w:val="00644BDB"/>
    <w:rsid w:val="00651D0F"/>
    <w:rsid w:val="00664F3D"/>
    <w:rsid w:val="00666DDF"/>
    <w:rsid w:val="00675045"/>
    <w:rsid w:val="00691735"/>
    <w:rsid w:val="00696F17"/>
    <w:rsid w:val="006A25D0"/>
    <w:rsid w:val="006C08A2"/>
    <w:rsid w:val="006D77EF"/>
    <w:rsid w:val="007140B5"/>
    <w:rsid w:val="00723D7D"/>
    <w:rsid w:val="00746056"/>
    <w:rsid w:val="00774B4F"/>
    <w:rsid w:val="0080446C"/>
    <w:rsid w:val="00852BB1"/>
    <w:rsid w:val="008828C0"/>
    <w:rsid w:val="00887A32"/>
    <w:rsid w:val="00900F70"/>
    <w:rsid w:val="00902B54"/>
    <w:rsid w:val="00955D9E"/>
    <w:rsid w:val="00995AE7"/>
    <w:rsid w:val="009A608E"/>
    <w:rsid w:val="009F3FC6"/>
    <w:rsid w:val="00A34C56"/>
    <w:rsid w:val="00A4518E"/>
    <w:rsid w:val="00A50DB1"/>
    <w:rsid w:val="00AB452F"/>
    <w:rsid w:val="00AD6D07"/>
    <w:rsid w:val="00B33910"/>
    <w:rsid w:val="00B8118B"/>
    <w:rsid w:val="00B84F79"/>
    <w:rsid w:val="00BA00E3"/>
    <w:rsid w:val="00BA2867"/>
    <w:rsid w:val="00BA67AA"/>
    <w:rsid w:val="00BC5462"/>
    <w:rsid w:val="00BD1298"/>
    <w:rsid w:val="00BD7F43"/>
    <w:rsid w:val="00BE3F56"/>
    <w:rsid w:val="00C140A8"/>
    <w:rsid w:val="00C22592"/>
    <w:rsid w:val="00C30C2F"/>
    <w:rsid w:val="00C36C87"/>
    <w:rsid w:val="00C41C37"/>
    <w:rsid w:val="00C53311"/>
    <w:rsid w:val="00C72DCF"/>
    <w:rsid w:val="00D1112D"/>
    <w:rsid w:val="00D23E0C"/>
    <w:rsid w:val="00D35C4B"/>
    <w:rsid w:val="00D55D2A"/>
    <w:rsid w:val="00D5666B"/>
    <w:rsid w:val="00D645D0"/>
    <w:rsid w:val="00D93CA8"/>
    <w:rsid w:val="00DF0013"/>
    <w:rsid w:val="00DF2D2D"/>
    <w:rsid w:val="00DF68AE"/>
    <w:rsid w:val="00E31D78"/>
    <w:rsid w:val="00E372A1"/>
    <w:rsid w:val="00E434E6"/>
    <w:rsid w:val="00E528DD"/>
    <w:rsid w:val="00E803BE"/>
    <w:rsid w:val="00E80524"/>
    <w:rsid w:val="00EC4712"/>
    <w:rsid w:val="00EC6A12"/>
    <w:rsid w:val="00F1782F"/>
    <w:rsid w:val="00F224C4"/>
    <w:rsid w:val="00F441BB"/>
    <w:rsid w:val="00FD01C9"/>
    <w:rsid w:val="1C463390"/>
    <w:rsid w:val="22255895"/>
    <w:rsid w:val="4918367E"/>
    <w:rsid w:val="75D3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9A67"/>
  <w15:docId w15:val="{B73C75EF-8344-4028-8198-363E4EC1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</w:pPr>
    <w:rPr>
      <w:rFonts w:eastAsia="楷体_GB2312" w:cs="Arial"/>
      <w:color w:val="20202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qFormat/>
    <w:rPr>
      <w:vertAlign w:val="superscript"/>
    </w:rPr>
  </w:style>
  <w:style w:type="table" w:styleId="ac">
    <w:name w:val="Table Grid"/>
    <w:basedOn w:val="a1"/>
    <w:uiPriority w:val="39"/>
    <w:qFormat/>
    <w:rPr>
      <w:rFonts w:eastAsia="楷体_GB2312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pPr>
      <w:ind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楷体_GB2312" w:hAnsi="Times New Roman" w:cs="Arial"/>
      <w:color w:val="20202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楷体_GB2312" w:hAnsi="Times New Roman" w:cs="Arial"/>
      <w:color w:val="202020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楷体_GB2312" w:hAnsi="Times New Roman" w:cs="Arial"/>
      <w:color w:val="202020"/>
      <w:kern w:val="0"/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qFormat/>
    <w:rPr>
      <w:rFonts w:ascii="Times New Roman" w:eastAsia="楷体_GB2312" w:hAnsi="Times New Roman" w:cs="Arial"/>
      <w:color w:val="20202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65815-CDFB-4DFD-A7DC-0DAB9F4B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chengyq</dc:creator>
  <cp:lastModifiedBy>zhangzhao</cp:lastModifiedBy>
  <cp:revision>22</cp:revision>
  <dcterms:created xsi:type="dcterms:W3CDTF">2018-04-23T09:04:00Z</dcterms:created>
  <dcterms:modified xsi:type="dcterms:W3CDTF">2018-05-30T01:16:00Z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